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3EF3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2</w:t>
      </w:r>
    </w:p>
    <w:p w14:paraId="71267AC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聊城大学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  <w:t>大学生创新大赛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  <w:t>）</w:t>
      </w:r>
    </w:p>
    <w:p w14:paraId="5301779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  <w:t>高教主赛道方案</w:t>
      </w:r>
    </w:p>
    <w:p w14:paraId="443EE43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</w:p>
    <w:p w14:paraId="74F3DFB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聊城大学大学生创新大赛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设高教主赛道，具体实施方案如下。</w:t>
      </w:r>
    </w:p>
    <w:p w14:paraId="477B899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一、参赛项目类型</w:t>
      </w:r>
    </w:p>
    <w:p w14:paraId="42716CB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（一）新工科类项目：大数据、云计算、人工智能、区块链、虚拟现实、智能制造、网络空间安全、机器人工程、工业自动化、新材料等领域，符合新工科建设理念和要求的项目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；</w:t>
      </w:r>
    </w:p>
    <w:p w14:paraId="3EEDB4D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（二）新医科类项目：现代医疗技术、智能医疗设备、新药研发、健康康养、食药保健、智能医学、生物技术、生物材料等领域，符合新医科建设理念和要求的项目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；</w:t>
      </w:r>
    </w:p>
    <w:p w14:paraId="7B0B561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（三）新农科类项目：现代种业、智慧农业、智能农机装备、农业大数据、食品营养、休闲农业、森林康养、生态修复、农业碳汇等领域，符合新农科建设理念和要求的项目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；</w:t>
      </w:r>
    </w:p>
    <w:p w14:paraId="20DEEE7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四）新文科类项目：文化教育、数字经济、金融科技、财经、法务、融媒体、翻译、旅游休闲、动漫、文创设计与开发、电子商务、物流、体育、非物质文化遗产保护、社会工作、家政服务、养老服务等领域，符合新文科建设理念和要求的项目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；</w:t>
      </w:r>
    </w:p>
    <w:p w14:paraId="62DC3F5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（五）“人工智能+”项目：聚焦于人工智能深度融合经济社会各领域发展、赋能千行百业智能化转型升级，符合“人工智能+”发展理念和要求的项目。</w:t>
      </w:r>
    </w:p>
    <w:p w14:paraId="14CA9A5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before="0" w:line="560" w:lineRule="exact"/>
        <w:ind w:left="23" w:firstLine="650"/>
        <w:jc w:val="both"/>
        <w:rPr>
          <w:rFonts w:hint="default" w:ascii="Times New Roman" w:hAnsi="Times New Roman" w:eastAsia="仿宋" w:cs="Times New Roman"/>
          <w:color w:val="auto"/>
          <w:sz w:val="31"/>
          <w:szCs w:val="31"/>
        </w:rPr>
      </w:pPr>
      <w:r>
        <w:rPr>
          <w:rFonts w:hint="default" w:ascii="Times New Roman" w:hAnsi="Times New Roman" w:eastAsia="仿宋" w:cs="Times New Roman"/>
          <w:color w:val="auto"/>
          <w:spacing w:val="22"/>
          <w:sz w:val="31"/>
          <w:szCs w:val="31"/>
        </w:rPr>
        <w:t>参赛项目团队应认真了解和把握新质生产力的内涵及</w:t>
      </w:r>
      <w:r>
        <w:rPr>
          <w:rFonts w:hint="default" w:ascii="Times New Roman" w:hAnsi="Times New Roman" w:eastAsia="仿宋" w:cs="Times New Roman"/>
          <w:color w:val="auto"/>
          <w:spacing w:val="18"/>
          <w:sz w:val="31"/>
          <w:szCs w:val="31"/>
        </w:rPr>
        <w:t>要求，结合以上分类及项目实际，合理选择参赛项目类别，</w:t>
      </w:r>
      <w:r>
        <w:rPr>
          <w:rFonts w:hint="default" w:ascii="Times New Roman" w:hAnsi="Times New Roman" w:eastAsia="仿宋" w:cs="Times New Roman"/>
          <w:color w:val="auto"/>
          <w:spacing w:val="6"/>
          <w:sz w:val="31"/>
          <w:szCs w:val="31"/>
        </w:rPr>
        <w:t>根据</w:t>
      </w:r>
      <w:r>
        <w:rPr>
          <w:rFonts w:hint="default" w:ascii="Times New Roman" w:hAnsi="Times New Roman" w:eastAsia="仿宋" w:cs="Times New Roman"/>
          <w:color w:val="auto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eastAsia="仿宋" w:cs="Times New Roman"/>
          <w:color w:val="auto"/>
          <w:spacing w:val="6"/>
          <w:sz w:val="31"/>
          <w:szCs w:val="31"/>
        </w:rPr>
        <w:t>“四新”“人工智能+”建设内涵和产业发展方向选择</w:t>
      </w:r>
      <w:r>
        <w:rPr>
          <w:rFonts w:hint="default" w:ascii="Times New Roman" w:hAnsi="Times New Roman" w:eastAsia="仿宋" w:cs="Times New Roman"/>
          <w:color w:val="auto"/>
          <w:spacing w:val="5"/>
          <w:sz w:val="31"/>
          <w:szCs w:val="31"/>
        </w:rPr>
        <w:t>相应类型。</w:t>
      </w:r>
    </w:p>
    <w:p w14:paraId="5F9F985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二、参赛方式和要求</w:t>
      </w:r>
    </w:p>
    <w:p w14:paraId="79BEA0F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一）本赛道以团队为单位报名参赛。允许跨校组建参赛团队，每个团队的成员不少于3人，不多于15人（含团队负责人），须为项目的实际核心成员。参赛团队所报参赛创业项目，须为本团队策划或经营的项目，不得借用他人项目参赛。</w:t>
      </w:r>
    </w:p>
    <w:p w14:paraId="379FBE5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（二）所有参赛材料和现场答辩原则上使用中文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或英文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。</w:t>
      </w:r>
    </w:p>
    <w:p w14:paraId="266CA76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三、参赛组别和对象</w:t>
      </w:r>
    </w:p>
    <w:p w14:paraId="0A8E326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根据参赛申报人所处学习阶段，项目分为本科生组、 研究生组。根据项目发展阶段，本科生组和研究生组均内设创意组、创业组，并按照新工科、新医科、新农科、新文科、“人工智能+”设置参赛项目类型。</w:t>
      </w:r>
    </w:p>
    <w:p w14:paraId="1120E34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具体参赛条件如下：</w:t>
      </w:r>
    </w:p>
    <w:p w14:paraId="6AC1F9D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pacing w:val="0"/>
          <w:sz w:val="32"/>
          <w:szCs w:val="32"/>
          <w:lang w:val="en-US" w:eastAsia="zh-CN"/>
        </w:rPr>
        <w:t>本科生组</w:t>
      </w:r>
    </w:p>
    <w:p w14:paraId="2D06F3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1.创意组</w:t>
      </w:r>
    </w:p>
    <w:p w14:paraId="022D804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（1）参赛项目具有较好的创意和较为成型的产品原型或服务模式，在202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年4月28日前尚未完成工商等各类登记注册。</w:t>
      </w:r>
    </w:p>
    <w:p w14:paraId="0BC90C8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（2）参赛申报人须为项目负责人，项目负责人及成员均须为我校全日制在校本科生（不含在职教育）。</w:t>
      </w:r>
    </w:p>
    <w:p w14:paraId="010B8AC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（3）学校科技成果转化项目不能参加本组比赛（科技成果的完成人、所有人中参赛申报人排名第一的除外）。</w:t>
      </w:r>
    </w:p>
    <w:p w14:paraId="4F9413F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2.创业组</w:t>
      </w:r>
    </w:p>
    <w:p w14:paraId="59FADA6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（1）参赛项目须已完成工商等各类登记注册（在202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年4月28日前注册）。</w:t>
      </w:r>
    </w:p>
    <w:p w14:paraId="49BA4F8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（2）参赛申报人须为项目负责人且为参赛企业法定代表人，须为我校全日制在校本科生（不含在职教育），或毕业5年以内的全日制本科学生（即 20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 xml:space="preserve"> 年之后的毕业生，不含在职教育）。企业法定代表人在202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年4月28日后进行变更的不予认可。</w:t>
      </w:r>
    </w:p>
    <w:p w14:paraId="634F139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（3）项目的股权结构中，企业法定代表人的股权不得少于 10%，参赛团队成员股权合计不得少于 1/3。</w:t>
      </w:r>
    </w:p>
    <w:p w14:paraId="2F8B165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pacing w:val="0"/>
          <w:sz w:val="32"/>
          <w:szCs w:val="32"/>
          <w:lang w:val="en-US" w:eastAsia="zh-CN"/>
        </w:rPr>
        <w:t>（二）研究生组</w:t>
      </w:r>
    </w:p>
    <w:p w14:paraId="7FBF764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1.创意组</w:t>
      </w:r>
    </w:p>
    <w:p w14:paraId="7EA6CF5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（1）参赛项目具有较好的创意和较为成型的产品原型 或服务模式，在202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年4月28日前尚未完成工商等各类登记注册。</w:t>
      </w:r>
    </w:p>
    <w:p w14:paraId="206A16F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（2）参赛申报人须为项目负责人，须为我校全日制在校研究生。项目成员须为我校全日制在校研究生或本专科生（不含在职教育）。</w:t>
      </w:r>
    </w:p>
    <w:p w14:paraId="4EC02BF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（3）学校科技成果转化项目不能参加本组比赛（科技成果的完成人、所有人中参赛申报人排名第一的除外）。</w:t>
      </w:r>
    </w:p>
    <w:p w14:paraId="7F21C0B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2.创业组</w:t>
      </w:r>
    </w:p>
    <w:p w14:paraId="1EDE746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（1）参赛项目须已完成工商等各类登记注册（在202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年4月28日前注册）。</w:t>
      </w:r>
    </w:p>
    <w:p w14:paraId="2D6ED84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（2）参赛申报人须为项目负责人且为参赛企业法定代表人，须为我校全日制在校研究生，或毕业5年以内的全日制研究生学历学生（即20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年之后的研究生学历毕业生）。企业法定代表人在202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年4月28日后进行变更的不予认可。</w:t>
      </w:r>
    </w:p>
    <w:p w14:paraId="0A9D271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（3）项目的股权结构中，企业法定代表人的股权不得少于 10%，参赛团队成员股权合计不得少于 1/3。</w:t>
      </w:r>
    </w:p>
    <w:p w14:paraId="07A0DAC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四、其他</w:t>
      </w:r>
    </w:p>
    <w:p w14:paraId="13768BA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本附件所涉及条款的最终解释权，归聊城大学大学生创新大赛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组委会所有。</w:t>
      </w:r>
      <w:bookmarkStart w:id="0" w:name="_GoBack"/>
      <w:bookmarkEnd w:id="0"/>
    </w:p>
    <w:sectPr>
      <w:footerReference r:id="rId5" w:type="default"/>
      <w:pgSz w:w="11910" w:h="16840"/>
      <w:pgMar w:top="2041" w:right="1474" w:bottom="1701" w:left="1474" w:header="0" w:footer="1111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ED0CDE-771E-4B8D-BFBE-913C1FD5ED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3B7CDE8-70C6-4E91-9472-FA1EBFED8A8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69800AE-A17C-42C4-895E-42C0393B859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C1E1872-50C4-46D9-9478-0CD6FA397B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811FB">
    <w:pPr>
      <w:pStyle w:val="2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-127000</wp:posOffset>
              </wp:positionV>
              <wp:extent cx="730250" cy="332105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39110">
                          <w:pPr>
                            <w:spacing w:before="17" w:line="340" w:lineRule="exact"/>
                            <w:ind w:left="20" w:right="0" w:firstLine="0"/>
                            <w:jc w:val="center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10pt;height:26.15pt;width:57.5pt;mso-position-horizontal:center;mso-position-horizontal-relative:margin;z-index:251659264;mso-width-relative:page;mso-height-relative:page;" filled="f" stroked="f" coordsize="21600,21600" o:gfxdata="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ok71DWAAAABwEAAA8AAAAAAAAAAQAgAAAAIgAAAGRycy9kb3ducmV2LnhtbFBLAQIUABQA&#10;AAAIAIdO4kDGOAgauQEAAHEDAAAOAAAAAAAAAAEAIAAAACU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9739110">
                    <w:pPr>
                      <w:spacing w:before="17" w:line="340" w:lineRule="exact"/>
                      <w:ind w:left="20" w:right="0" w:firstLine="0"/>
                      <w:jc w:val="center"/>
                      <w:rPr>
                        <w:rFonts w:ascii="宋体"/>
                        <w:sz w:val="28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宋体"/>
                        <w:sz w:val="21"/>
                        <w:szCs w:val="21"/>
                      </w:rPr>
                      <w:instrText xml:space="preserve"> PAGE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2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9A49F8"/>
    <w:multiLevelType w:val="singleLevel"/>
    <w:tmpl w:val="AF9A49F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C2315B"/>
    <w:rsid w:val="6F7E28D1"/>
    <w:rsid w:val="718F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759"/>
    </w:pPr>
    <w:rPr>
      <w:rFonts w:ascii="仿宋" w:hAnsi="仿宋" w:eastAsia="仿宋" w:cs="仿宋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2023-08-27T10:58:00Z</dcterms:created>
  <dc:creator>Administrator</dc:creator>
  <cp:lastModifiedBy>Administrator</cp:lastModifiedBy>
  <dcterms:modified xsi:type="dcterms:W3CDTF">2024-11-22T09:04:07Z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0B6D9D8B8DFE44539995F1A736F5B67B_12</vt:lpwstr>
  </property>
</Properties>
</file>